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5544F" w14:textId="77777777" w:rsidR="00AA47ED" w:rsidRDefault="00AA47ED" w:rsidP="00AA4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Объявлены даты проведения Кавказского инвестиционного форума в Грозном</w:t>
      </w:r>
    </w:p>
    <w:p w14:paraId="2F50440D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F6909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Кавказский инвестиционный форум (КИФ) состоится в столице Чеченской Республики – городе Грозный – с 15 по 17 июля. </w:t>
      </w:r>
      <w:r>
        <w:rPr>
          <w:rFonts w:ascii="Times New Roman" w:eastAsia="Times New Roman" w:hAnsi="Times New Roman" w:cs="Times New Roman"/>
          <w:sz w:val="24"/>
          <w:szCs w:val="24"/>
        </w:rPr>
        <w:t>Форум станет площадкой для переговоров и заключения деловых контрактов с целью развития инвестиционных проектов и государственно-частного партнерства в российских регионах. Главной темой станет «Большой Кавказ – от моря до моря».</w:t>
      </w:r>
    </w:p>
    <w:p w14:paraId="427D4E98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двухдневную деловую программу КИФ-2024 войдет более 60 мероприятий. Внимание будет уделено вопросам развития предпринимательства и агропромышленного комплекса, транспортной инфраструктуры, промышленности, энергетики, банковского сектора, международного сотрудничества, здравоохранения, гуманитарной повестки и другим. Центральным событием Форума станет пленарное заседание. Третий день Форума – день проведения мероприятий молодежной программы КИФ-2024.</w:t>
      </w:r>
    </w:p>
    <w:p w14:paraId="5C3CEC44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«Выбор места проведения </w:t>
      </w:r>
      <w:r>
        <w:rPr>
          <w:rFonts w:ascii="Times New Roman" w:hAnsi="Times New Roman" w:cs="Times New Roman"/>
          <w:sz w:val="24"/>
          <w:szCs w:val="24"/>
        </w:rPr>
        <w:t xml:space="preserve">Кавказского инвестиционного форума </w:t>
      </w:r>
      <w:r>
        <w:rPr>
          <w:rFonts w:ascii="Times New Roman" w:eastAsia="Times New Roman" w:hAnsi="Times New Roman" w:cs="Times New Roman"/>
          <w:sz w:val="24"/>
          <w:szCs w:val="24"/>
        </w:rPr>
        <w:t>не случаен – Чеченская Республика является одним из наиболее привлекательных субъектов Российской Федерации, одним из лидеров Национального рейтинга инвестиционного климата в нашей стране. Уверен, что расширение географии Форума позволит показать участникам и гостям мероприятия традиции и красоту Северного Кавказа, культурное многообразие его регионов, а международный статус КИФ позволит продемонстрировать инвестиционные проекты, развивающиеся в регионе, и заинтересовать зарубежных инвесторов», – подчеркнул заместитель Председателя Правительства Российской Федерации Александр Новак.</w:t>
      </w:r>
    </w:p>
    <w:p w14:paraId="2840DEBF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Помимо обширной деловой программы, участников Кавказского инвестиционного форума ждет большая образовательная и культурно-развлекательная программа: лекции, мастер-классы, экскурсии, гастрономическая выставка, модные показы и конноспортивные состязания. Также на площадке КИФ-2024 впервые состоится торжественная церемония вручения инвестиционной премии «Вершина» за вклад в рост экономики и развитие инвестиционного потенциала регионов России. С архитектурой деловой программы можно ознакомиться </w:t>
      </w:r>
      <w:hyperlink r:id="rId7" w:history="1">
        <w:r>
          <w:rPr>
            <w:rStyle w:val="a8"/>
            <w:rFonts w:ascii="Times New Roman" w:eastAsia="Times New Roman" w:hAnsi="Times New Roman" w:cs="Times New Roman"/>
            <w:color w:val="000000"/>
            <w:sz w:val="24"/>
            <w:szCs w:val="24"/>
          </w:rPr>
          <w:t>на официальном сайте Форума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E0A65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КИФ-2024 примут участие представители компаний туристического бизнеса, агрокомплекса, транспортно-логистических компаний, банковского сектора, строительных компаний из регионов Северного Кавказа, Южного федерального округа, стран СНГ, Каспийского и Черноморского бассейнов.</w:t>
      </w:r>
    </w:p>
    <w:p w14:paraId="3ED1A9B2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 этом году тематика Форума расширилась по сравнению с прошлым годом. В этот раз она охватит широкий спектр вопросов развития Северо-Кавказского и Южного федеральных округов, а также стран СНГ, Каспийского и Черноморского бассейнов. Повестка Форума будет привлекательна для предпринимателей и инвесторов, среди которых все больше тех, кто в полной мере осознает высочайший потенциал региона. Фиксируется большой интерес со стороны зарубежных стран – свое желание принять участие в Форуме уже изъявили представители ОАЭ, Катара, Омана, Казахстана, Узбекистана и других стран», – подчеркнул советник Президента Российской Федерации, ответственный секретарь Оргкомитета КИФ-2024 Антон Кобяков.</w:t>
      </w:r>
    </w:p>
    <w:p w14:paraId="0C67E5D0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Первую Кавказскую инвестиционную выставку, которая состоялась в мае 2023 года в Минеральных Водах, посетили более трех тысяч человек из 15 стран. В рамках деловой программы состоялось свыше 30 мероприятий. На площадке было подписано порядка 50 соглашений на сумму более 150 миллиардов рублей.</w:t>
      </w:r>
    </w:p>
    <w:p w14:paraId="08E80F5E" w14:textId="77777777" w:rsidR="00AA47ED" w:rsidRDefault="00AA47ED" w:rsidP="00AA4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Кавказский инвестиционный форум </w:t>
      </w:r>
      <w:r>
        <w:rPr>
          <w:rFonts w:ascii="Times New Roman" w:eastAsia="Times New Roman" w:hAnsi="Times New Roman" w:cs="Times New Roman"/>
          <w:sz w:val="24"/>
          <w:szCs w:val="24"/>
        </w:rPr>
        <w:t>проводится в соответствии с указом Президента Российской Федерации. Организатор Форума – Фонд Росконгресс при поддержке Министерства экономического развития Российской Федерации.</w:t>
      </w:r>
    </w:p>
    <w:p w14:paraId="49A24278" w14:textId="77777777" w:rsidR="00AA47ED" w:rsidRDefault="00AA47ED" w:rsidP="00AA47ED">
      <w:pPr>
        <w:spacing w:after="0" w:line="240" w:lineRule="auto"/>
        <w:ind w:firstLine="567"/>
        <w:jc w:val="both"/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Следить за новостями Форума можно на официальном сайте КИФ </w:t>
      </w:r>
      <w:hyperlink r:id="rId8" w:history="1">
        <w:r>
          <w:rPr>
            <w:rStyle w:val="a8"/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forumkavkaz.org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в социальных сетях </w:t>
      </w:r>
      <w:hyperlink r:id="rId9" w:history="1">
        <w:r>
          <w:rPr>
            <w:rStyle w:val="a8"/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«Телеграм»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hyperlink r:id="rId10" w:history="1">
        <w:r>
          <w:rPr>
            <w:rStyle w:val="a8"/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«ВКонтакте».</w:t>
        </w:r>
      </w:hyperlink>
    </w:p>
    <w:p w14:paraId="70DCCDB5" w14:textId="77777777" w:rsidR="00AA47ED" w:rsidRDefault="00AA47ED" w:rsidP="00AA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C89F8" w14:textId="77777777" w:rsidR="00AA47ED" w:rsidRPr="00AA47ED" w:rsidRDefault="00AA47ED" w:rsidP="00AA4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 w:rsidRPr="00AA47ED"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 w:rsidRPr="00AA47ED"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67E661B0" w14:textId="77777777" w:rsidR="003E5AB2" w:rsidRDefault="003E5AB2" w:rsidP="003E5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Кавказский инвестиционный форум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состоится 15 – 17 июля в Грозном с целью повышения инвестиционного потенциала Северо-Кавказского федерального округа и в интересах его устойчивого социально-экономического развития. В 2023 году Кавказскую инвестиционную выставку посетили более трех тыс. участников, были подписаны соглашения на более 150 млрд рублей.</w:t>
      </w:r>
    </w:p>
    <w:p w14:paraId="0C3E847E" w14:textId="77777777" w:rsidR="003E5AB2" w:rsidRDefault="003E5AB2" w:rsidP="003E5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Форум проходит при поддержке Министерства экономического развития Российской Федерации. Организатор мероприятия – Фонд Росконгресс.</w:t>
      </w:r>
    </w:p>
    <w:p w14:paraId="1D0B0F8C" w14:textId="77777777" w:rsidR="00DA5817" w:rsidRPr="00AA47ED" w:rsidRDefault="00DA5817" w:rsidP="00AA47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F57F3" w14:textId="77777777" w:rsidR="00AA47ED" w:rsidRPr="00AA47ED" w:rsidRDefault="00AA47ED" w:rsidP="00AA47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A47ED">
        <w:rPr>
          <w:rFonts w:ascii="Times New Roman" w:hAnsi="Times New Roman" w:cs="Times New Roman"/>
          <w:b/>
          <w:i/>
          <w:color w:val="000000"/>
          <w:sz w:val="20"/>
          <w:szCs w:val="20"/>
        </w:rPr>
        <w:t>Фонд Росконгресс</w:t>
      </w:r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 – социально ориентированный нефинансовый институт развития, крупнейший организатор общероссийских, международных, конгрессных,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374DD6F3" w14:textId="77777777" w:rsidR="00AA47ED" w:rsidRPr="00AA47ED" w:rsidRDefault="00AA47ED" w:rsidP="00AA47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 </w:t>
      </w:r>
    </w:p>
    <w:p w14:paraId="403C01AB" w14:textId="77777777" w:rsidR="00AA47ED" w:rsidRPr="00AA47ED" w:rsidRDefault="00AA47ED" w:rsidP="00AA47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</w:t>
      </w:r>
      <w:proofErr w:type="spellStart"/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Росконгресса</w:t>
      </w:r>
      <w:proofErr w:type="spellEnd"/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, в аналитическую и экспертную работу вовлечены более 5000 экспертов в России и за рубежом.</w:t>
      </w:r>
    </w:p>
    <w:p w14:paraId="5918CB58" w14:textId="77777777" w:rsidR="00AA47ED" w:rsidRPr="00AA47ED" w:rsidRDefault="00AA47ED" w:rsidP="00AA47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Фонд взаимодействует со структурами ООН и другими международными организациями. Развивает </w:t>
      </w:r>
      <w:proofErr w:type="spellStart"/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многоформатное</w:t>
      </w:r>
      <w:proofErr w:type="spellEnd"/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сотрудничество со 197 внешнеэкономическими партнерами, объединениями промышленников и предпринимателей, финансовыми, торговыми и бизнес-ассоциациями в 83 странах мира, с 286 российскими общественными организациями, федеральными и региональными органами исполнительной и законодательной власти Российской Федерации.</w:t>
      </w:r>
    </w:p>
    <w:p w14:paraId="273DE116" w14:textId="77777777" w:rsidR="00AA47ED" w:rsidRPr="00AA47ED" w:rsidRDefault="00AA47ED" w:rsidP="00AA47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Официальные телеграм-каналы Фонда Росконгресс: на русском языке – </w:t>
      </w:r>
      <w:hyperlink r:id="rId11"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t.me/</w:t>
        </w:r>
        <w:proofErr w:type="spellStart"/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Roscongress</w:t>
        </w:r>
        <w:proofErr w:type="spellEnd"/>
      </w:hyperlink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, на английском языке – </w:t>
      </w:r>
      <w:hyperlink r:id="rId12"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t.me/</w:t>
        </w:r>
        <w:proofErr w:type="spellStart"/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RoscongressDirect</w:t>
        </w:r>
        <w:proofErr w:type="spellEnd"/>
      </w:hyperlink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, на испанском языке – </w:t>
      </w:r>
      <w:hyperlink r:id="rId13"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t.me/</w:t>
        </w:r>
        <w:proofErr w:type="spellStart"/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RoscongressEsp</w:t>
        </w:r>
        <w:proofErr w:type="spellEnd"/>
      </w:hyperlink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, на арабском языке – </w:t>
      </w:r>
      <w:hyperlink r:id="rId14"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t.me/</w:t>
        </w:r>
        <w:proofErr w:type="spellStart"/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RosCongressArabic</w:t>
        </w:r>
        <w:proofErr w:type="spellEnd"/>
      </w:hyperlink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. Официальный сайт и Информационно-аналитическая система Фонда Росконгресс: </w:t>
      </w:r>
      <w:hyperlink r:id="rId15">
        <w:r w:rsidRPr="00AA47ED">
          <w:rPr>
            <w:rFonts w:ascii="Times New Roman" w:hAnsi="Times New Roman" w:cs="Times New Roman"/>
            <w:i/>
            <w:color w:val="A50E2D"/>
            <w:sz w:val="20"/>
            <w:szCs w:val="20"/>
            <w:u w:val="single"/>
          </w:rPr>
          <w:t>roscongress.org</w:t>
        </w:r>
      </w:hyperlink>
      <w:r w:rsidRPr="00AA47ED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sectPr w:rsidR="00AA47ED" w:rsidRPr="00AA47ED" w:rsidSect="00F72A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C7C05" w14:textId="77777777" w:rsidR="00A8099D" w:rsidRDefault="00A8099D" w:rsidP="00807EEB">
      <w:pPr>
        <w:spacing w:after="0" w:line="240" w:lineRule="auto"/>
      </w:pPr>
      <w:r>
        <w:separator/>
      </w:r>
    </w:p>
  </w:endnote>
  <w:endnote w:type="continuationSeparator" w:id="0">
    <w:p w14:paraId="0041E751" w14:textId="77777777" w:rsidR="00A8099D" w:rsidRDefault="00A8099D" w:rsidP="0080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FE191" w14:textId="77777777" w:rsidR="00FE0B80" w:rsidRDefault="00FE0B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5DAE7" w14:textId="222EAF23" w:rsidR="00807EEB" w:rsidRDefault="00DD3F61" w:rsidP="00FF1F65">
    <w:pPr>
      <w:pStyle w:val="a5"/>
      <w:ind w:left="-1701"/>
    </w:pPr>
    <w:r>
      <w:rPr>
        <w:noProof/>
        <w:lang w:eastAsia="ru-RU"/>
      </w:rPr>
      <w:drawing>
        <wp:inline distT="0" distB="0" distL="0" distR="0" wp14:anchorId="7401A88E" wp14:editId="46E2C093">
          <wp:extent cx="7371330" cy="539750"/>
          <wp:effectExtent l="0" t="0" r="127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КИФ_blank_header-footer_рус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423" cy="54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E209A" w14:textId="77777777" w:rsidR="00FE0B80" w:rsidRDefault="00FE0B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18859" w14:textId="77777777" w:rsidR="00A8099D" w:rsidRDefault="00A8099D" w:rsidP="00807EEB">
      <w:pPr>
        <w:spacing w:after="0" w:line="240" w:lineRule="auto"/>
      </w:pPr>
      <w:r>
        <w:separator/>
      </w:r>
    </w:p>
  </w:footnote>
  <w:footnote w:type="continuationSeparator" w:id="0">
    <w:p w14:paraId="57A72E7A" w14:textId="77777777" w:rsidR="00A8099D" w:rsidRDefault="00A8099D" w:rsidP="0080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EA02" w14:textId="77777777" w:rsidR="00FE0B80" w:rsidRDefault="00FE0B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3A4AD" w14:textId="31FA0D0A" w:rsidR="00807EEB" w:rsidRDefault="00DD3F61" w:rsidP="00FF1F65">
    <w:pPr>
      <w:pStyle w:val="a3"/>
      <w:ind w:left="-1701"/>
    </w:pPr>
    <w:r>
      <w:rPr>
        <w:noProof/>
        <w:lang w:eastAsia="ru-RU"/>
      </w:rPr>
      <w:drawing>
        <wp:inline distT="0" distB="0" distL="0" distR="0" wp14:anchorId="60D315FE" wp14:editId="5B244AB5">
          <wp:extent cx="7381875" cy="1795954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ИФ_blank_header-footer_рус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0119" cy="181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49285" w14:textId="77777777" w:rsidR="00FE0B80" w:rsidRDefault="00FE0B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2D"/>
    <w:rsid w:val="0012073B"/>
    <w:rsid w:val="001222C6"/>
    <w:rsid w:val="001B73FD"/>
    <w:rsid w:val="00292C51"/>
    <w:rsid w:val="002E16C1"/>
    <w:rsid w:val="00347D90"/>
    <w:rsid w:val="003772E3"/>
    <w:rsid w:val="003E5AB2"/>
    <w:rsid w:val="00487547"/>
    <w:rsid w:val="005C0488"/>
    <w:rsid w:val="005F1E2D"/>
    <w:rsid w:val="006B5E97"/>
    <w:rsid w:val="00762998"/>
    <w:rsid w:val="00807EEB"/>
    <w:rsid w:val="00A657DE"/>
    <w:rsid w:val="00A8099D"/>
    <w:rsid w:val="00AA47ED"/>
    <w:rsid w:val="00DA5817"/>
    <w:rsid w:val="00DD3F61"/>
    <w:rsid w:val="00F44262"/>
    <w:rsid w:val="00F5732A"/>
    <w:rsid w:val="00F72ABA"/>
    <w:rsid w:val="00FC7A66"/>
    <w:rsid w:val="00FE0B80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6C888"/>
  <w15:chartTrackingRefBased/>
  <w15:docId w15:val="{A7E0C7A6-4975-45EB-938B-514B6E47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EEB"/>
  </w:style>
  <w:style w:type="paragraph" w:styleId="a5">
    <w:name w:val="footer"/>
    <w:basedOn w:val="a"/>
    <w:link w:val="a6"/>
    <w:uiPriority w:val="99"/>
    <w:unhideWhenUsed/>
    <w:rsid w:val="0080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EEB"/>
  </w:style>
  <w:style w:type="table" w:styleId="a7">
    <w:name w:val="Table Grid"/>
    <w:basedOn w:val="a1"/>
    <w:uiPriority w:val="39"/>
    <w:rsid w:val="006B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AA47E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kavkaz.org/" TargetMode="External"/><Relationship Id="rId13" Type="http://schemas.openxmlformats.org/officeDocument/2006/relationships/hyperlink" Target="https://t.me/RoscongressEs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forumkavkaz.org/program/arkhitektura-delovoy-programmy-2024/" TargetMode="External"/><Relationship Id="rId12" Type="http://schemas.openxmlformats.org/officeDocument/2006/relationships/hyperlink" Target="https://t.me/RoscongressDirec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Roscongre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scongress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nvestkavkaz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t.me/investkavkazcom" TargetMode="External"/><Relationship Id="rId14" Type="http://schemas.openxmlformats.org/officeDocument/2006/relationships/hyperlink" Target="https://t.me/RosCongressArabic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49A6-E86F-4209-9842-C2D539CF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Александра</dc:creator>
  <cp:keywords/>
  <dc:description/>
  <cp:lastModifiedBy>User</cp:lastModifiedBy>
  <cp:revision>2</cp:revision>
  <dcterms:created xsi:type="dcterms:W3CDTF">2024-05-28T08:04:00Z</dcterms:created>
  <dcterms:modified xsi:type="dcterms:W3CDTF">2024-05-28T08:04:00Z</dcterms:modified>
</cp:coreProperties>
</file>